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7B05D5">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1FBDDBAF">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515698BA">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default" w:ascii="仿宋_GB2312" w:hAnsi="仿宋_GB2312" w:eastAsia="仿宋_GB2312" w:cs="仿宋_GB2312"/>
          <w:kern w:val="0"/>
          <w:sz w:val="28"/>
          <w:szCs w:val="28"/>
          <w:highlight w:val="none"/>
          <w:lang w:eastAsia="zh-CN"/>
        </w:rPr>
        <w:t>236</w:t>
      </w:r>
      <w:r>
        <w:rPr>
          <w:rFonts w:hint="eastAsia" w:ascii="仿宋_GB2312" w:hAnsi="仿宋_GB2312" w:eastAsia="仿宋_GB2312" w:cs="仿宋_GB2312"/>
          <w:kern w:val="0"/>
          <w:sz w:val="28"/>
          <w:szCs w:val="28"/>
          <w:highlight w:val="none"/>
        </w:rPr>
        <w:t>号</w:t>
      </w:r>
    </w:p>
    <w:p w14:paraId="14E2EC21">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38D292BD">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1C5EEBD8">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1F11CA36">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675818B1">
      <w:pPr>
        <w:keepNext w:val="0"/>
        <w:keepLines w:val="0"/>
        <w:pageBreakBefore w:val="0"/>
        <w:widowControl w:val="0"/>
        <w:kinsoku/>
        <w:wordWrap/>
        <w:overflowPunct/>
        <w:topLinePunct w:val="0"/>
        <w:autoSpaceDE w:val="0"/>
        <w:autoSpaceDN w:val="0"/>
        <w:bidi w:val="0"/>
        <w:adjustRightInd w:val="0"/>
        <w:snapToGrid w:val="0"/>
        <w:spacing w:beforeLines="0" w:line="240" w:lineRule="auto"/>
        <w:ind w:firstLine="600" w:firstLineChars="200"/>
        <w:textAlignment w:val="auto"/>
        <w:rPr>
          <w:rFonts w:hint="eastAsia" w:ascii="仿宋_GB2312" w:hAnsi="仿宋_GB2312" w:eastAsia="仿宋_GB2312" w:cs="仿宋_GB2312"/>
          <w:kern w:val="0"/>
          <w:sz w:val="30"/>
          <w:szCs w:val="30"/>
          <w:highlight w:val="none"/>
        </w:rPr>
      </w:pPr>
      <w:r>
        <w:rPr>
          <w:rFonts w:hint="eastAsia" w:ascii="仿宋_GB2312" w:hAnsi="仿宋_GB2312" w:eastAsia="仿宋_GB2312" w:cs="仿宋_GB2312"/>
          <w:kern w:val="0"/>
          <w:sz w:val="30"/>
          <w:szCs w:val="30"/>
          <w:highlight w:val="none"/>
        </w:rPr>
        <w:t>2024年11月12日，我局执法人员对</w:t>
      </w:r>
      <w:r>
        <w:rPr>
          <w:rFonts w:hint="eastAsia" w:ascii="仿宋_GB2312" w:hAnsi="仿宋_GB2312" w:eastAsia="仿宋_GB2312" w:cs="仿宋_GB2312"/>
          <w:kern w:val="0"/>
          <w:sz w:val="30"/>
          <w:szCs w:val="30"/>
          <w:highlight w:val="none"/>
          <w:lang w:val="en-US" w:eastAsia="zh-CN"/>
        </w:rPr>
        <w:t>你单位</w:t>
      </w:r>
      <w:r>
        <w:rPr>
          <w:rFonts w:hint="eastAsia" w:ascii="仿宋_GB2312" w:hAnsi="仿宋_GB2312" w:eastAsia="仿宋_GB2312" w:cs="仿宋_GB2312"/>
          <w:kern w:val="0"/>
          <w:sz w:val="30"/>
          <w:szCs w:val="30"/>
          <w:highlight w:val="none"/>
        </w:rPr>
        <w:t>位于***的经营场所进行执法检查，检查发现</w:t>
      </w:r>
      <w:r>
        <w:rPr>
          <w:rFonts w:hint="eastAsia" w:ascii="仿宋_GB2312" w:hAnsi="仿宋_GB2312" w:eastAsia="仿宋_GB2312" w:cs="仿宋_GB2312"/>
          <w:kern w:val="0"/>
          <w:sz w:val="30"/>
          <w:szCs w:val="30"/>
          <w:highlight w:val="none"/>
          <w:lang w:val="en-US" w:eastAsia="zh-CN"/>
        </w:rPr>
        <w:t>你单位</w:t>
      </w:r>
      <w:r>
        <w:rPr>
          <w:rFonts w:hint="eastAsia" w:ascii="仿宋_GB2312" w:hAnsi="仿宋_GB2312" w:eastAsia="仿宋_GB2312" w:cs="仿宋_GB2312"/>
          <w:kern w:val="0"/>
          <w:sz w:val="30"/>
          <w:szCs w:val="30"/>
          <w:highlight w:val="none"/>
        </w:rPr>
        <w:t>主要从事口腔医疗服务，现场设有一间口腔CBCT室，安装有铅门，无窗户，四周为含铅板混凝土墙，现场配备有防护服。口腔CBCT室内有1</w:t>
      </w:r>
      <w:bookmarkStart w:id="1" w:name="_GoBack"/>
      <w:bookmarkEnd w:id="1"/>
      <w:r>
        <w:rPr>
          <w:rFonts w:hint="eastAsia" w:ascii="仿宋_GB2312" w:hAnsi="仿宋_GB2312" w:eastAsia="仿宋_GB2312" w:cs="仿宋_GB2312"/>
          <w:kern w:val="0"/>
          <w:sz w:val="30"/>
          <w:szCs w:val="30"/>
          <w:highlight w:val="none"/>
        </w:rPr>
        <w:t>台口腔颌面锥形束计算机体层摄影设备，型号为Bondream3D-1020MS（配置3），根据《关于发布&lt;射线装置分类&gt;的公告》（公告2017年第66号），该口腔X射线装置属于Ⅲ类射线装置，用途为口腔</w:t>
      </w:r>
      <w:r>
        <w:rPr>
          <w:rFonts w:hint="eastAsia" w:ascii="仿宋_GB2312" w:hAnsi="仿宋_GB2312" w:eastAsia="仿宋_GB2312" w:cs="仿宋_GB2312"/>
          <w:kern w:val="0"/>
          <w:sz w:val="30"/>
          <w:szCs w:val="30"/>
          <w:highlight w:val="none"/>
          <w:lang w:eastAsia="zh-CN"/>
        </w:rPr>
        <w:t>（</w:t>
      </w:r>
      <w:r>
        <w:rPr>
          <w:rFonts w:hint="eastAsia" w:ascii="仿宋_GB2312" w:hAnsi="仿宋_GB2312" w:eastAsia="仿宋_GB2312" w:cs="仿宋_GB2312"/>
          <w:kern w:val="0"/>
          <w:sz w:val="30"/>
          <w:szCs w:val="30"/>
          <w:highlight w:val="none"/>
        </w:rPr>
        <w:t>牙科</w:t>
      </w:r>
      <w:r>
        <w:rPr>
          <w:rFonts w:hint="eastAsia" w:ascii="仿宋_GB2312" w:hAnsi="仿宋_GB2312" w:eastAsia="仿宋_GB2312" w:cs="仿宋_GB2312"/>
          <w:kern w:val="0"/>
          <w:sz w:val="30"/>
          <w:szCs w:val="30"/>
          <w:highlight w:val="none"/>
          <w:lang w:eastAsia="zh-CN"/>
        </w:rPr>
        <w:t>）</w:t>
      </w:r>
      <w:r>
        <w:rPr>
          <w:rFonts w:hint="eastAsia" w:ascii="仿宋_GB2312" w:hAnsi="仿宋_GB2312" w:eastAsia="仿宋_GB2312" w:cs="仿宋_GB2312"/>
          <w:kern w:val="0"/>
          <w:sz w:val="30"/>
          <w:szCs w:val="30"/>
          <w:highlight w:val="none"/>
        </w:rPr>
        <w:t>全景片、CT拍摄。口腔CBCT室外有一台电脑，该电脑链接口腔CBCT室内的口腔颌面锥形束计算机体层摄影设备。经核实，</w:t>
      </w:r>
      <w:r>
        <w:rPr>
          <w:rFonts w:hint="eastAsia" w:ascii="仿宋_GB2312" w:hAnsi="仿宋_GB2312" w:eastAsia="仿宋_GB2312" w:cs="仿宋_GB2312"/>
          <w:kern w:val="0"/>
          <w:sz w:val="30"/>
          <w:szCs w:val="30"/>
          <w:highlight w:val="none"/>
          <w:lang w:val="en-US" w:eastAsia="zh-CN"/>
        </w:rPr>
        <w:t>你单位</w:t>
      </w:r>
      <w:r>
        <w:rPr>
          <w:rFonts w:hint="eastAsia" w:ascii="仿宋_GB2312" w:hAnsi="仿宋_GB2312" w:eastAsia="仿宋_GB2312" w:cs="仿宋_GB2312"/>
          <w:kern w:val="0"/>
          <w:sz w:val="30"/>
          <w:szCs w:val="30"/>
          <w:highlight w:val="none"/>
        </w:rPr>
        <w:t>未办理辐射安全许可证。</w:t>
      </w:r>
    </w:p>
    <w:p w14:paraId="29450E7C">
      <w:pPr>
        <w:keepNext w:val="0"/>
        <w:keepLines w:val="0"/>
        <w:pageBreakBefore w:val="0"/>
        <w:widowControl w:val="0"/>
        <w:kinsoku/>
        <w:wordWrap/>
        <w:overflowPunct/>
        <w:topLinePunct w:val="0"/>
        <w:autoSpaceDE w:val="0"/>
        <w:autoSpaceDN w:val="0"/>
        <w:bidi w:val="0"/>
        <w:adjustRightInd w:val="0"/>
        <w:snapToGrid w:val="0"/>
        <w:spacing w:beforeLines="0" w:line="240" w:lineRule="auto"/>
        <w:ind w:firstLine="600" w:firstLineChars="200"/>
        <w:textAlignment w:val="auto"/>
        <w:rPr>
          <w:rFonts w:hint="eastAsia" w:ascii="仿宋_GB2312" w:hAnsi="仿宋_GB2312" w:eastAsia="仿宋_GB2312" w:cs="仿宋_GB2312"/>
          <w:kern w:val="0"/>
          <w:sz w:val="30"/>
          <w:szCs w:val="30"/>
          <w:highlight w:val="none"/>
        </w:rPr>
      </w:pPr>
      <w:r>
        <w:rPr>
          <w:rFonts w:hint="eastAsia" w:ascii="仿宋_GB2312" w:hAnsi="仿宋_GB2312" w:eastAsia="仿宋_GB2312" w:cs="仿宋_GB2312"/>
          <w:kern w:val="0"/>
          <w:sz w:val="30"/>
          <w:szCs w:val="30"/>
          <w:highlight w:val="none"/>
          <w:lang w:val="en-US" w:eastAsia="zh-CN"/>
        </w:rPr>
        <w:t>你单位</w:t>
      </w:r>
      <w:r>
        <w:rPr>
          <w:rFonts w:hint="eastAsia" w:ascii="仿宋_GB2312" w:hAnsi="仿宋_GB2312" w:eastAsia="仿宋_GB2312" w:cs="仿宋_GB2312"/>
          <w:kern w:val="0"/>
          <w:sz w:val="30"/>
          <w:szCs w:val="30"/>
          <w:highlight w:val="none"/>
        </w:rPr>
        <w:t xml:space="preserve">存在无许可证从事射线装置使用活动的环境违法行为。                                                        </w:t>
      </w:r>
    </w:p>
    <w:p w14:paraId="49F86CE9">
      <w:pPr>
        <w:keepNext w:val="0"/>
        <w:keepLines w:val="0"/>
        <w:pageBreakBefore w:val="0"/>
        <w:widowControl w:val="0"/>
        <w:kinsoku/>
        <w:wordWrap/>
        <w:overflowPunct/>
        <w:topLinePunct w:val="0"/>
        <w:autoSpaceDE w:val="0"/>
        <w:autoSpaceDN w:val="0"/>
        <w:bidi w:val="0"/>
        <w:adjustRightInd w:val="0"/>
        <w:snapToGrid w:val="0"/>
        <w:spacing w:beforeLines="0" w:line="240" w:lineRule="auto"/>
        <w:ind w:firstLine="600" w:firstLineChars="200"/>
        <w:textAlignment w:val="auto"/>
        <w:rPr>
          <w:rFonts w:hint="eastAsia" w:ascii="仿宋_GB2312" w:hAnsi="仿宋_GB2312" w:eastAsia="仿宋_GB2312" w:cs="仿宋_GB2312"/>
          <w:kern w:val="0"/>
          <w:sz w:val="30"/>
          <w:szCs w:val="30"/>
          <w:highlight w:val="none"/>
        </w:rPr>
      </w:pPr>
      <w:r>
        <w:rPr>
          <w:rFonts w:hint="eastAsia" w:ascii="仿宋_GB2312" w:hAnsi="仿宋_GB2312" w:eastAsia="仿宋_GB2312" w:cs="仿宋_GB2312"/>
          <w:kern w:val="0"/>
          <w:sz w:val="30"/>
          <w:szCs w:val="30"/>
          <w:highlight w:val="none"/>
        </w:rPr>
        <w:t>以上事实，主要有以下证据材料证明：</w:t>
      </w:r>
    </w:p>
    <w:p w14:paraId="1FED7561">
      <w:pPr>
        <w:keepNext w:val="0"/>
        <w:keepLines w:val="0"/>
        <w:pageBreakBefore w:val="0"/>
        <w:widowControl w:val="0"/>
        <w:kinsoku/>
        <w:wordWrap/>
        <w:overflowPunct/>
        <w:topLinePunct w:val="0"/>
        <w:autoSpaceDE w:val="0"/>
        <w:autoSpaceDN w:val="0"/>
        <w:bidi w:val="0"/>
        <w:adjustRightInd w:val="0"/>
        <w:snapToGrid w:val="0"/>
        <w:spacing w:beforeLines="0" w:line="240" w:lineRule="auto"/>
        <w:ind w:firstLine="600" w:firstLineChars="200"/>
        <w:textAlignment w:val="auto"/>
        <w:rPr>
          <w:rFonts w:hint="eastAsia" w:ascii="仿宋_GB2312" w:hAnsi="仿宋_GB2312" w:eastAsia="仿宋_GB2312" w:cs="仿宋_GB2312"/>
          <w:kern w:val="0"/>
          <w:sz w:val="30"/>
          <w:szCs w:val="30"/>
          <w:highlight w:val="none"/>
        </w:rPr>
      </w:pPr>
      <w:r>
        <w:rPr>
          <w:rFonts w:hint="eastAsia" w:ascii="仿宋_GB2312" w:hAnsi="仿宋_GB2312" w:eastAsia="仿宋_GB2312" w:cs="仿宋_GB2312"/>
          <w:kern w:val="0"/>
          <w:sz w:val="30"/>
          <w:szCs w:val="30"/>
          <w:highlight w:val="none"/>
        </w:rPr>
        <w:t>1、</w:t>
      </w:r>
      <w:bookmarkStart w:id="0" w:name="_Hlk155166315"/>
      <w:r>
        <w:rPr>
          <w:rFonts w:hint="eastAsia" w:ascii="仿宋_GB2312" w:hAnsi="仿宋_GB2312" w:eastAsia="仿宋_GB2312" w:cs="仿宋_GB2312"/>
          <w:kern w:val="0"/>
          <w:sz w:val="30"/>
          <w:szCs w:val="30"/>
          <w:highlight w:val="none"/>
        </w:rPr>
        <w:t>2024年11月12日我局执法人员制作的现场检查（勘察）笔录</w:t>
      </w:r>
      <w:bookmarkEnd w:id="0"/>
      <w:r>
        <w:rPr>
          <w:rFonts w:hint="eastAsia" w:ascii="仿宋_GB2312" w:hAnsi="仿宋_GB2312" w:eastAsia="仿宋_GB2312" w:cs="仿宋_GB2312"/>
          <w:kern w:val="0"/>
          <w:sz w:val="30"/>
          <w:szCs w:val="30"/>
          <w:highlight w:val="none"/>
          <w:lang w:eastAsia="zh-CN"/>
        </w:rPr>
        <w:t>、</w:t>
      </w:r>
      <w:r>
        <w:rPr>
          <w:rFonts w:hint="eastAsia" w:ascii="仿宋_GB2312" w:hAnsi="仿宋_GB2312" w:eastAsia="仿宋_GB2312" w:cs="仿宋_GB2312"/>
          <w:kern w:val="0"/>
          <w:sz w:val="30"/>
          <w:szCs w:val="30"/>
          <w:highlight w:val="none"/>
        </w:rPr>
        <w:t>调查询问笔录，证明我局执法人员的执法检查、调查情况；</w:t>
      </w:r>
    </w:p>
    <w:p w14:paraId="48E44267">
      <w:pPr>
        <w:keepNext w:val="0"/>
        <w:keepLines w:val="0"/>
        <w:pageBreakBefore w:val="0"/>
        <w:widowControl w:val="0"/>
        <w:kinsoku/>
        <w:wordWrap/>
        <w:overflowPunct/>
        <w:topLinePunct w:val="0"/>
        <w:autoSpaceDE w:val="0"/>
        <w:autoSpaceDN w:val="0"/>
        <w:bidi w:val="0"/>
        <w:adjustRightInd w:val="0"/>
        <w:snapToGrid w:val="0"/>
        <w:spacing w:beforeLines="0" w:line="240" w:lineRule="auto"/>
        <w:ind w:firstLine="600" w:firstLineChars="200"/>
        <w:textAlignment w:val="auto"/>
        <w:rPr>
          <w:rFonts w:hint="eastAsia" w:ascii="仿宋_GB2312" w:hAnsi="仿宋_GB2312" w:eastAsia="仿宋_GB2312" w:cs="仿宋_GB2312"/>
          <w:kern w:val="0"/>
          <w:sz w:val="30"/>
          <w:szCs w:val="30"/>
          <w:highlight w:val="none"/>
        </w:rPr>
      </w:pPr>
      <w:r>
        <w:rPr>
          <w:rFonts w:hint="eastAsia" w:ascii="仿宋_GB2312" w:hAnsi="仿宋_GB2312" w:eastAsia="仿宋_GB2312" w:cs="仿宋_GB2312"/>
          <w:kern w:val="0"/>
          <w:sz w:val="30"/>
          <w:szCs w:val="30"/>
          <w:highlight w:val="none"/>
        </w:rPr>
        <w:t>2、2024年11月12日我局执法人员制作的现场照片</w:t>
      </w:r>
      <w:r>
        <w:rPr>
          <w:rFonts w:hint="eastAsia" w:ascii="仿宋_GB2312" w:hAnsi="仿宋_GB2312" w:eastAsia="仿宋_GB2312" w:cs="仿宋_GB2312"/>
          <w:kern w:val="0"/>
          <w:sz w:val="30"/>
          <w:szCs w:val="30"/>
          <w:highlight w:val="none"/>
          <w:lang w:val="en-US" w:eastAsia="zh-CN"/>
        </w:rPr>
        <w:t>和视频</w:t>
      </w:r>
      <w:r>
        <w:rPr>
          <w:rFonts w:hint="eastAsia" w:ascii="仿宋_GB2312" w:hAnsi="仿宋_GB2312" w:eastAsia="仿宋_GB2312" w:cs="仿宋_GB2312"/>
          <w:kern w:val="0"/>
          <w:sz w:val="30"/>
          <w:szCs w:val="30"/>
          <w:highlight w:val="none"/>
        </w:rPr>
        <w:t>，2024年11月12日你单位提供的</w:t>
      </w:r>
      <w:r>
        <w:rPr>
          <w:rFonts w:hint="eastAsia" w:ascii="仿宋_GB2312" w:hAnsi="仿宋_GB2312" w:eastAsia="仿宋_GB2312" w:cs="仿宋_GB2312"/>
          <w:color w:val="auto"/>
          <w:sz w:val="30"/>
          <w:szCs w:val="30"/>
          <w:highlight w:val="none"/>
          <w:lang w:val="en-US" w:eastAsia="zh-CN"/>
        </w:rPr>
        <w:t>放射诊疗许可证（深卫放证字（2024）第050367号）</w:t>
      </w:r>
      <w:r>
        <w:rPr>
          <w:rFonts w:hint="eastAsia" w:ascii="仿宋_GB2312" w:hAnsi="仿宋_GB2312" w:eastAsia="仿宋_GB2312" w:cs="仿宋_GB2312"/>
          <w:color w:val="auto"/>
          <w:sz w:val="30"/>
          <w:szCs w:val="30"/>
          <w:highlight w:val="none"/>
          <w:lang w:eastAsia="zh-CN"/>
        </w:rPr>
        <w:t>、口</w:t>
      </w:r>
      <w:r>
        <w:rPr>
          <w:rFonts w:hint="eastAsia" w:ascii="仿宋_GB2312" w:hAnsi="仿宋_GB2312" w:eastAsia="仿宋_GB2312" w:cs="仿宋_GB2312"/>
          <w:color w:val="auto"/>
          <w:sz w:val="30"/>
          <w:szCs w:val="30"/>
          <w:highlight w:val="none"/>
          <w:lang w:val="en-US" w:eastAsia="zh-CN"/>
        </w:rPr>
        <w:t>腔颌面锥形束计算机体层摄影设备说明书、</w:t>
      </w:r>
      <w:r>
        <w:rPr>
          <w:rFonts w:hint="eastAsia" w:ascii="仿宋_GB2312" w:hAnsi="仿宋_GB2312" w:eastAsia="仿宋_GB2312" w:cs="仿宋_GB2312"/>
          <w:color w:val="auto"/>
          <w:sz w:val="30"/>
          <w:szCs w:val="30"/>
          <w:highlight w:val="none"/>
          <w:lang w:eastAsia="zh-CN"/>
        </w:rPr>
        <w:t>销售合同等材料，证明</w:t>
      </w:r>
      <w:r>
        <w:rPr>
          <w:rFonts w:hint="eastAsia" w:ascii="仿宋_GB2312" w:hAnsi="仿宋_GB2312" w:eastAsia="仿宋_GB2312" w:cs="仿宋_GB2312"/>
          <w:kern w:val="0"/>
          <w:sz w:val="30"/>
          <w:szCs w:val="30"/>
          <w:highlight w:val="none"/>
        </w:rPr>
        <w:t>你单位使用了1台口腔颌面锥形束计算机体层摄影设备，根据《关于发布&lt;射线装置分类&gt;的公告》（公告2017年第66号），该口腔X射线装置属于Ⅲ类射线装置；</w:t>
      </w:r>
    </w:p>
    <w:p w14:paraId="2CDDA3FD">
      <w:pPr>
        <w:keepNext w:val="0"/>
        <w:keepLines w:val="0"/>
        <w:pageBreakBefore w:val="0"/>
        <w:widowControl w:val="0"/>
        <w:kinsoku/>
        <w:wordWrap/>
        <w:overflowPunct/>
        <w:topLinePunct w:val="0"/>
        <w:autoSpaceDE w:val="0"/>
        <w:autoSpaceDN w:val="0"/>
        <w:bidi w:val="0"/>
        <w:adjustRightInd w:val="0"/>
        <w:snapToGrid w:val="0"/>
        <w:spacing w:beforeLines="0" w:line="240" w:lineRule="auto"/>
        <w:ind w:firstLine="600" w:firstLineChars="200"/>
        <w:textAlignment w:val="auto"/>
        <w:rPr>
          <w:rFonts w:hint="eastAsia" w:ascii="仿宋_GB2312" w:hAnsi="仿宋_GB2312" w:eastAsia="仿宋_GB2312" w:cs="仿宋_GB2312"/>
          <w:kern w:val="0"/>
          <w:sz w:val="30"/>
          <w:szCs w:val="30"/>
          <w:highlight w:val="none"/>
        </w:rPr>
      </w:pPr>
      <w:r>
        <w:rPr>
          <w:rFonts w:hint="eastAsia" w:ascii="仿宋_GB2312" w:hAnsi="仿宋_GB2312" w:eastAsia="仿宋_GB2312" w:cs="仿宋_GB2312"/>
          <w:kern w:val="0"/>
          <w:sz w:val="30"/>
          <w:szCs w:val="30"/>
          <w:highlight w:val="none"/>
        </w:rPr>
        <w:t>3、</w:t>
      </w:r>
      <w:r>
        <w:rPr>
          <w:rFonts w:hint="eastAsia" w:ascii="仿宋_GB2312" w:hAnsi="仿宋_GB2312" w:eastAsia="仿宋_GB2312" w:cs="仿宋_GB2312"/>
          <w:kern w:val="0"/>
          <w:sz w:val="30"/>
          <w:szCs w:val="30"/>
          <w:highlight w:val="none"/>
          <w:lang w:val="en-US" w:eastAsia="zh-CN"/>
        </w:rPr>
        <w:t>2024年11月14日我局执法人员调取的全国核技术利用单位辐射安全许可证信息公开查询平台截图、国家核技术利用辐射安全监管系统截图，</w:t>
      </w:r>
      <w:r>
        <w:rPr>
          <w:rFonts w:hint="eastAsia" w:ascii="仿宋_GB2312" w:hAnsi="仿宋_GB2312" w:eastAsia="仿宋_GB2312" w:cs="仿宋_GB2312"/>
          <w:kern w:val="0"/>
          <w:sz w:val="30"/>
          <w:szCs w:val="30"/>
          <w:highlight w:val="none"/>
        </w:rPr>
        <w:t>证明你单位存在无许可证从事射线装置使用活动的环境违法行为；</w:t>
      </w:r>
    </w:p>
    <w:p w14:paraId="17B5D402">
      <w:pPr>
        <w:keepNext w:val="0"/>
        <w:keepLines w:val="0"/>
        <w:pageBreakBefore w:val="0"/>
        <w:widowControl w:val="0"/>
        <w:kinsoku/>
        <w:wordWrap/>
        <w:overflowPunct/>
        <w:topLinePunct w:val="0"/>
        <w:autoSpaceDE w:val="0"/>
        <w:autoSpaceDN w:val="0"/>
        <w:bidi w:val="0"/>
        <w:adjustRightInd w:val="0"/>
        <w:snapToGrid w:val="0"/>
        <w:spacing w:beforeLines="0" w:line="240" w:lineRule="auto"/>
        <w:ind w:firstLine="600" w:firstLineChars="200"/>
        <w:textAlignment w:val="auto"/>
        <w:rPr>
          <w:rFonts w:hint="eastAsia" w:ascii="仿宋_GB2312" w:hAnsi="仿宋_GB2312" w:eastAsia="仿宋_GB2312" w:cs="仿宋_GB2312"/>
          <w:kern w:val="0"/>
          <w:sz w:val="30"/>
          <w:szCs w:val="30"/>
          <w:highlight w:val="none"/>
        </w:rPr>
      </w:pPr>
      <w:r>
        <w:rPr>
          <w:rFonts w:hint="eastAsia" w:ascii="仿宋_GB2312" w:hAnsi="仿宋_GB2312" w:eastAsia="仿宋_GB2312" w:cs="仿宋_GB2312"/>
          <w:kern w:val="0"/>
          <w:sz w:val="30"/>
          <w:szCs w:val="30"/>
          <w:highlight w:val="none"/>
        </w:rPr>
        <w:t>4、2024年11月12日你单位提供的营业执照复印件、法定代表人</w:t>
      </w:r>
      <w:r>
        <w:rPr>
          <w:rFonts w:hint="eastAsia" w:ascii="仿宋_GB2312" w:hAnsi="仿宋_GB2312" w:eastAsia="仿宋_GB2312" w:cs="仿宋_GB2312"/>
          <w:kern w:val="0"/>
          <w:sz w:val="30"/>
          <w:szCs w:val="30"/>
          <w:highlight w:val="none"/>
          <w:lang w:eastAsia="zh-CN"/>
        </w:rPr>
        <w:t>（</w:t>
      </w:r>
      <w:r>
        <w:rPr>
          <w:rFonts w:hint="eastAsia" w:ascii="仿宋_GB2312" w:hAnsi="仿宋_GB2312" w:eastAsia="仿宋_GB2312" w:cs="仿宋_GB2312"/>
          <w:kern w:val="0"/>
          <w:sz w:val="30"/>
          <w:szCs w:val="30"/>
          <w:highlight w:val="none"/>
        </w:rPr>
        <w:t>负责人</w:t>
      </w:r>
      <w:r>
        <w:rPr>
          <w:rFonts w:hint="eastAsia" w:ascii="仿宋_GB2312" w:hAnsi="仿宋_GB2312" w:eastAsia="仿宋_GB2312" w:cs="仿宋_GB2312"/>
          <w:kern w:val="0"/>
          <w:sz w:val="30"/>
          <w:szCs w:val="30"/>
          <w:highlight w:val="none"/>
          <w:lang w:eastAsia="zh-CN"/>
        </w:rPr>
        <w:t>）</w:t>
      </w:r>
      <w:r>
        <w:rPr>
          <w:rFonts w:hint="eastAsia" w:ascii="仿宋_GB2312" w:hAnsi="仿宋_GB2312" w:eastAsia="仿宋_GB2312" w:cs="仿宋_GB2312"/>
          <w:kern w:val="0"/>
          <w:sz w:val="30"/>
          <w:szCs w:val="30"/>
          <w:highlight w:val="none"/>
        </w:rPr>
        <w:t>身份证明书、身份证复印件等材料，证明你单位的主体适格；</w:t>
      </w:r>
    </w:p>
    <w:p w14:paraId="192A191B">
      <w:pPr>
        <w:keepNext w:val="0"/>
        <w:keepLines w:val="0"/>
        <w:pageBreakBefore w:val="0"/>
        <w:widowControl w:val="0"/>
        <w:kinsoku/>
        <w:wordWrap/>
        <w:overflowPunct/>
        <w:topLinePunct w:val="0"/>
        <w:autoSpaceDE w:val="0"/>
        <w:autoSpaceDN w:val="0"/>
        <w:bidi w:val="0"/>
        <w:adjustRightInd w:val="0"/>
        <w:snapToGrid w:val="0"/>
        <w:spacing w:beforeLines="0" w:line="240" w:lineRule="auto"/>
        <w:ind w:left="0" w:leftChars="0" w:firstLine="600" w:firstLineChars="200"/>
        <w:textAlignment w:val="auto"/>
        <w:rPr>
          <w:rFonts w:hint="eastAsia" w:ascii="仿宋_GB2312" w:hAnsi="仿宋_GB2312" w:eastAsia="仿宋_GB2312" w:cs="仿宋_GB2312"/>
          <w:kern w:val="0"/>
          <w:sz w:val="30"/>
          <w:szCs w:val="30"/>
          <w:highlight w:val="none"/>
        </w:rPr>
      </w:pPr>
      <w:r>
        <w:rPr>
          <w:rFonts w:hint="eastAsia" w:ascii="仿宋_GB2312" w:hAnsi="仿宋_GB2312" w:eastAsia="仿宋_GB2312" w:cs="仿宋_GB2312"/>
          <w:kern w:val="0"/>
          <w:sz w:val="30"/>
          <w:szCs w:val="30"/>
          <w:highlight w:val="none"/>
        </w:rPr>
        <w:t>5、执法人员执法证复印件，证明执法人员身份合法。</w:t>
      </w:r>
    </w:p>
    <w:p w14:paraId="1AF14265">
      <w:pPr>
        <w:keepNext w:val="0"/>
        <w:keepLines w:val="0"/>
        <w:pageBreakBefore w:val="0"/>
        <w:widowControl w:val="0"/>
        <w:kinsoku/>
        <w:wordWrap/>
        <w:overflowPunct/>
        <w:topLinePunct w:val="0"/>
        <w:autoSpaceDE w:val="0"/>
        <w:autoSpaceDN w:val="0"/>
        <w:bidi w:val="0"/>
        <w:adjustRightInd w:val="0"/>
        <w:snapToGrid w:val="0"/>
        <w:spacing w:beforeLines="0" w:line="240" w:lineRule="auto"/>
        <w:ind w:firstLine="600" w:firstLineChars="200"/>
        <w:textAlignment w:val="auto"/>
        <w:rPr>
          <w:rFonts w:hint="eastAsia" w:ascii="仿宋_GB2312" w:hAnsi="仿宋_GB2312" w:eastAsia="仿宋_GB2312" w:cs="仿宋_GB2312"/>
          <w:kern w:val="0"/>
          <w:sz w:val="30"/>
          <w:szCs w:val="30"/>
          <w:highlight w:val="none"/>
        </w:rPr>
      </w:pPr>
      <w:r>
        <w:rPr>
          <w:rFonts w:hint="eastAsia" w:ascii="仿宋_GB2312" w:hAnsi="仿宋_GB2312" w:eastAsia="仿宋_GB2312" w:cs="仿宋_GB2312"/>
          <w:kern w:val="0"/>
          <w:sz w:val="30"/>
          <w:szCs w:val="30"/>
          <w:highlight w:val="none"/>
        </w:rPr>
        <w:t>你单位的上述行为违反了《放射性同位素与射线装置安全和防护条例》第十五条第一款“禁止无许可证或者不按照许可证规定的种类和范围从事放射性同位素和射线装置的生产、销售、使用活动”的规定。</w:t>
      </w:r>
    </w:p>
    <w:p w14:paraId="33C54FF1">
      <w:pPr>
        <w:keepNext w:val="0"/>
        <w:keepLines w:val="0"/>
        <w:pageBreakBefore w:val="0"/>
        <w:widowControl w:val="0"/>
        <w:kinsoku/>
        <w:wordWrap/>
        <w:overflowPunct/>
        <w:topLinePunct w:val="0"/>
        <w:autoSpaceDE w:val="0"/>
        <w:autoSpaceDN w:val="0"/>
        <w:bidi w:val="0"/>
        <w:adjustRightInd w:val="0"/>
        <w:snapToGrid w:val="0"/>
        <w:spacing w:beforeLines="0" w:line="240" w:lineRule="auto"/>
        <w:ind w:firstLine="600" w:firstLineChars="200"/>
        <w:textAlignment w:val="auto"/>
        <w:rPr>
          <w:rFonts w:hint="eastAsia" w:ascii="仿宋_GB2312" w:hAnsi="仿宋_GB2312" w:eastAsia="仿宋_GB2312" w:cs="仿宋_GB2312"/>
          <w:color w:val="auto"/>
          <w:kern w:val="2"/>
          <w:sz w:val="30"/>
          <w:szCs w:val="30"/>
          <w:highlight w:val="none"/>
        </w:rPr>
      </w:pPr>
      <w:r>
        <w:rPr>
          <w:rFonts w:hint="eastAsia" w:ascii="仿宋_GB2312" w:hAnsi="仿宋_GB2312" w:eastAsia="仿宋_GB2312" w:cs="仿宋_GB2312"/>
          <w:color w:val="auto"/>
          <w:kern w:val="2"/>
          <w:sz w:val="30"/>
          <w:szCs w:val="30"/>
          <w:highlight w:val="none"/>
        </w:rPr>
        <w:t>依据《中华人民共和国行政处罚法》第二十八条第一款“行政机关实施行政处罚时，应当责令当事人改正或者限期改正违法行为”和《放射性同位素与射线装置安全和防护条例》第五十二条第一项“违反本条例规定，生产、销售、使用放射性同位素和射线装置的单位有下列行为之一的，由县级以上人民政府生态环境主管部门责令限期改正；逾期不改正的，责令停产停业或者由原发证机关吊销许可证；有违法所得的，没收违法所得；违法所得10万元以上的，并处违法所得1倍以上5倍以下的罚款；没有违法所得或者违法所得不足10万元的，并处1万元以上10万元以下的罚款</w:t>
      </w:r>
      <w:r>
        <w:rPr>
          <w:rFonts w:hint="eastAsia" w:ascii="仿宋_GB2312" w:hAnsi="仿宋_GB2312" w:eastAsia="仿宋_GB2312" w:cs="仿宋_GB2312"/>
          <w:color w:val="auto"/>
          <w:kern w:val="2"/>
          <w:sz w:val="30"/>
          <w:szCs w:val="30"/>
          <w:highlight w:val="none"/>
          <w:lang w:eastAsia="zh-CN"/>
        </w:rPr>
        <w:t>：</w:t>
      </w:r>
      <w:r>
        <w:rPr>
          <w:rFonts w:hint="eastAsia" w:ascii="仿宋_GB2312" w:hAnsi="仿宋_GB2312" w:eastAsia="仿宋_GB2312" w:cs="仿宋_GB2312"/>
          <w:color w:val="auto"/>
          <w:kern w:val="2"/>
          <w:sz w:val="30"/>
          <w:szCs w:val="30"/>
          <w:highlight w:val="none"/>
        </w:rPr>
        <w:t>（一）无许可证从事放射性同位素和射线装置生产、销售、使用活动的”的规定，</w:t>
      </w:r>
      <w:r>
        <w:rPr>
          <w:rFonts w:hint="eastAsia" w:ascii="仿宋_GB2312" w:hAnsi="仿宋_GB2312" w:eastAsia="仿宋_GB2312" w:cs="仿宋_GB2312"/>
          <w:b w:val="0"/>
          <w:bCs w:val="0"/>
          <w:color w:val="auto"/>
          <w:kern w:val="2"/>
          <w:sz w:val="30"/>
          <w:szCs w:val="30"/>
          <w:highlight w:val="none"/>
        </w:rPr>
        <w:t>现责令你单位</w:t>
      </w:r>
      <w:r>
        <w:rPr>
          <w:rFonts w:hint="eastAsia" w:ascii="仿宋_GB2312" w:hAnsi="仿宋_GB2312" w:eastAsia="仿宋_GB2312" w:cs="仿宋_GB2312"/>
          <w:b w:val="0"/>
          <w:bCs w:val="0"/>
          <w:color w:val="auto"/>
          <w:kern w:val="2"/>
          <w:sz w:val="30"/>
          <w:szCs w:val="30"/>
          <w:highlight w:val="none"/>
          <w:lang w:eastAsia="zh-CN"/>
        </w:rPr>
        <w:t>立即停止</w:t>
      </w:r>
      <w:r>
        <w:rPr>
          <w:rFonts w:hint="eastAsia" w:ascii="仿宋_GB2312" w:hAnsi="仿宋_GB2312" w:eastAsia="仿宋_GB2312" w:cs="仿宋_GB2312"/>
          <w:b w:val="0"/>
          <w:bCs w:val="0"/>
          <w:color w:val="auto"/>
          <w:kern w:val="2"/>
          <w:sz w:val="30"/>
          <w:szCs w:val="30"/>
          <w:highlight w:val="none"/>
        </w:rPr>
        <w:t>无许可证从事射线装置使用活动</w:t>
      </w:r>
      <w:r>
        <w:rPr>
          <w:rFonts w:hint="eastAsia" w:ascii="仿宋_GB2312" w:hAnsi="仿宋_GB2312" w:eastAsia="仿宋_GB2312" w:cs="仿宋_GB2312"/>
          <w:b w:val="0"/>
          <w:bCs w:val="0"/>
          <w:color w:val="auto"/>
          <w:kern w:val="2"/>
          <w:sz w:val="30"/>
          <w:szCs w:val="30"/>
          <w:highlight w:val="none"/>
          <w:lang w:val="en-US" w:eastAsia="zh-CN"/>
        </w:rPr>
        <w:t>的</w:t>
      </w:r>
      <w:r>
        <w:rPr>
          <w:rFonts w:hint="eastAsia" w:ascii="仿宋_GB2312" w:hAnsi="仿宋_GB2312" w:eastAsia="仿宋_GB2312" w:cs="仿宋_GB2312"/>
          <w:b w:val="0"/>
          <w:bCs w:val="0"/>
          <w:color w:val="auto"/>
          <w:kern w:val="2"/>
          <w:sz w:val="30"/>
          <w:szCs w:val="30"/>
          <w:highlight w:val="none"/>
          <w:lang w:eastAsia="zh-CN"/>
        </w:rPr>
        <w:t>违法行为，并在收到本决定书之日起</w:t>
      </w:r>
      <w:r>
        <w:rPr>
          <w:rFonts w:hint="eastAsia" w:ascii="仿宋_GB2312" w:hAnsi="仿宋_GB2312" w:eastAsia="仿宋_GB2312" w:cs="仿宋_GB2312"/>
          <w:b w:val="0"/>
          <w:bCs w:val="0"/>
          <w:color w:val="auto"/>
          <w:kern w:val="2"/>
          <w:sz w:val="30"/>
          <w:szCs w:val="30"/>
          <w:highlight w:val="none"/>
        </w:rPr>
        <w:t>三十</w:t>
      </w:r>
      <w:r>
        <w:rPr>
          <w:rFonts w:hint="eastAsia" w:ascii="仿宋_GB2312" w:hAnsi="仿宋_GB2312" w:eastAsia="仿宋_GB2312" w:cs="仿宋_GB2312"/>
          <w:b w:val="0"/>
          <w:bCs w:val="0"/>
          <w:color w:val="auto"/>
          <w:kern w:val="2"/>
          <w:sz w:val="30"/>
          <w:szCs w:val="30"/>
          <w:highlight w:val="none"/>
          <w:lang w:eastAsia="zh-CN"/>
        </w:rPr>
        <w:t>日</w:t>
      </w:r>
      <w:r>
        <w:rPr>
          <w:rFonts w:hint="eastAsia" w:ascii="仿宋_GB2312" w:hAnsi="仿宋_GB2312" w:eastAsia="仿宋_GB2312" w:cs="仿宋_GB2312"/>
          <w:b w:val="0"/>
          <w:bCs w:val="0"/>
          <w:color w:val="auto"/>
          <w:kern w:val="2"/>
          <w:sz w:val="30"/>
          <w:szCs w:val="30"/>
          <w:highlight w:val="none"/>
        </w:rPr>
        <w:t>内</w:t>
      </w:r>
      <w:r>
        <w:rPr>
          <w:rFonts w:hint="eastAsia" w:ascii="仿宋_GB2312" w:hAnsi="仿宋_GB2312" w:eastAsia="仿宋_GB2312" w:cs="仿宋_GB2312"/>
          <w:b w:val="0"/>
          <w:bCs w:val="0"/>
          <w:color w:val="auto"/>
          <w:kern w:val="2"/>
          <w:sz w:val="30"/>
          <w:szCs w:val="30"/>
          <w:highlight w:val="none"/>
          <w:lang w:eastAsia="zh-CN"/>
        </w:rPr>
        <w:t>通过申领取得辐射安全许可证或者不再使用射线装置等方式改正</w:t>
      </w:r>
      <w:r>
        <w:rPr>
          <w:rFonts w:hint="eastAsia" w:ascii="仿宋_GB2312" w:hAnsi="仿宋_GB2312" w:eastAsia="仿宋_GB2312" w:cs="仿宋_GB2312"/>
          <w:b w:val="0"/>
          <w:bCs w:val="0"/>
          <w:color w:val="auto"/>
          <w:kern w:val="2"/>
          <w:sz w:val="30"/>
          <w:szCs w:val="30"/>
          <w:highlight w:val="none"/>
        </w:rPr>
        <w:t>无许可证从事射线装置使用活动</w:t>
      </w:r>
      <w:r>
        <w:rPr>
          <w:rFonts w:hint="eastAsia" w:ascii="仿宋_GB2312" w:hAnsi="仿宋_GB2312" w:eastAsia="仿宋_GB2312" w:cs="仿宋_GB2312"/>
          <w:b w:val="0"/>
          <w:bCs w:val="0"/>
          <w:color w:val="auto"/>
          <w:kern w:val="2"/>
          <w:sz w:val="30"/>
          <w:szCs w:val="30"/>
          <w:highlight w:val="none"/>
          <w:lang w:val="en-US" w:eastAsia="zh-CN"/>
        </w:rPr>
        <w:t>的</w:t>
      </w:r>
      <w:r>
        <w:rPr>
          <w:rFonts w:hint="eastAsia" w:ascii="仿宋_GB2312" w:hAnsi="仿宋_GB2312" w:eastAsia="仿宋_GB2312" w:cs="仿宋_GB2312"/>
          <w:color w:val="auto"/>
          <w:kern w:val="2"/>
          <w:sz w:val="30"/>
          <w:szCs w:val="30"/>
          <w:highlight w:val="none"/>
        </w:rPr>
        <w:t>违法</w:t>
      </w:r>
      <w:r>
        <w:rPr>
          <w:rFonts w:hint="eastAsia" w:ascii="仿宋_GB2312" w:hAnsi="仿宋_GB2312" w:eastAsia="仿宋_GB2312" w:cs="仿宋_GB2312"/>
          <w:b w:val="0"/>
          <w:bCs w:val="0"/>
          <w:color w:val="auto"/>
          <w:kern w:val="2"/>
          <w:sz w:val="30"/>
          <w:szCs w:val="30"/>
          <w:highlight w:val="none"/>
          <w:lang w:val="en-US" w:eastAsia="zh-CN"/>
        </w:rPr>
        <w:t>行为</w:t>
      </w:r>
      <w:r>
        <w:rPr>
          <w:rFonts w:hint="eastAsia" w:ascii="仿宋_GB2312" w:hAnsi="仿宋_GB2312" w:eastAsia="仿宋_GB2312" w:cs="仿宋_GB2312"/>
          <w:color w:val="auto"/>
          <w:kern w:val="2"/>
          <w:sz w:val="30"/>
          <w:szCs w:val="30"/>
          <w:highlight w:val="none"/>
        </w:rPr>
        <w:t>。</w:t>
      </w:r>
    </w:p>
    <w:p w14:paraId="34A0AD38">
      <w:pPr>
        <w:keepNext w:val="0"/>
        <w:keepLines w:val="0"/>
        <w:pageBreakBefore w:val="0"/>
        <w:widowControl w:val="0"/>
        <w:kinsoku/>
        <w:wordWrap/>
        <w:overflowPunct/>
        <w:topLinePunct w:val="0"/>
        <w:autoSpaceDE w:val="0"/>
        <w:autoSpaceDN w:val="0"/>
        <w:bidi w:val="0"/>
        <w:adjustRightInd w:val="0"/>
        <w:snapToGrid w:val="0"/>
        <w:spacing w:beforeLines="0" w:line="240" w:lineRule="auto"/>
        <w:ind w:firstLine="600" w:firstLineChars="200"/>
        <w:textAlignment w:val="auto"/>
        <w:rPr>
          <w:rFonts w:hint="eastAsia" w:ascii="仿宋_GB2312" w:hAnsi="仿宋_GB2312" w:eastAsia="仿宋_GB2312" w:cs="仿宋_GB2312"/>
          <w:kern w:val="0"/>
          <w:sz w:val="30"/>
          <w:szCs w:val="30"/>
          <w:highlight w:val="none"/>
        </w:rPr>
      </w:pPr>
      <w:r>
        <w:rPr>
          <w:rFonts w:hint="eastAsia" w:ascii="仿宋_GB2312" w:hAnsi="仿宋_GB2312" w:eastAsia="仿宋_GB2312" w:cs="仿宋_GB2312"/>
          <w:kern w:val="0"/>
          <w:sz w:val="30"/>
          <w:szCs w:val="30"/>
          <w:highlight w:val="none"/>
        </w:rPr>
        <w:t>如上述违法行为属于应依法直接给予行政处罚的情形，则对该行为的处罚不以整改结果为前提条件。</w:t>
      </w:r>
    </w:p>
    <w:p w14:paraId="3F21AC3E">
      <w:pPr>
        <w:keepNext w:val="0"/>
        <w:keepLines w:val="0"/>
        <w:pageBreakBefore w:val="0"/>
        <w:widowControl w:val="0"/>
        <w:kinsoku/>
        <w:wordWrap/>
        <w:overflowPunct/>
        <w:topLinePunct w:val="0"/>
        <w:autoSpaceDE w:val="0"/>
        <w:autoSpaceDN w:val="0"/>
        <w:bidi w:val="0"/>
        <w:adjustRightInd w:val="0"/>
        <w:snapToGrid w:val="0"/>
        <w:spacing w:beforeLines="0" w:line="240" w:lineRule="auto"/>
        <w:ind w:firstLine="600" w:firstLineChars="200"/>
        <w:textAlignment w:val="auto"/>
        <w:rPr>
          <w:rFonts w:hint="eastAsia" w:ascii="仿宋_GB2312" w:hAnsi="仿宋_GB2312" w:eastAsia="仿宋_GB2312" w:cs="仿宋_GB2312"/>
          <w:kern w:val="0"/>
          <w:sz w:val="30"/>
          <w:szCs w:val="30"/>
          <w:highlight w:val="none"/>
        </w:rPr>
      </w:pPr>
      <w:r>
        <w:rPr>
          <w:rFonts w:hint="eastAsia" w:ascii="仿宋_GB2312" w:hAnsi="仿宋_GB2312" w:eastAsia="仿宋_GB2312" w:cs="仿宋_GB2312"/>
          <w:kern w:val="0"/>
          <w:sz w:val="30"/>
          <w:szCs w:val="30"/>
          <w:highlight w:val="none"/>
        </w:rPr>
        <w:t>我局将自</w:t>
      </w:r>
      <w:r>
        <w:rPr>
          <w:rFonts w:hint="eastAsia" w:ascii="仿宋_GB2312" w:hAnsi="仿宋_GB2312" w:eastAsia="仿宋_GB2312" w:cs="仿宋_GB2312"/>
          <w:kern w:val="0"/>
          <w:sz w:val="30"/>
          <w:szCs w:val="30"/>
          <w:highlight w:val="none"/>
          <w:lang w:eastAsia="zh-CN"/>
        </w:rPr>
        <w:t>责令改正期限届满</w:t>
      </w:r>
      <w:r>
        <w:rPr>
          <w:rFonts w:hint="eastAsia" w:ascii="仿宋_GB2312" w:hAnsi="仿宋_GB2312" w:eastAsia="仿宋_GB2312" w:cs="仿宋_GB2312"/>
          <w:kern w:val="0"/>
          <w:sz w:val="30"/>
          <w:szCs w:val="30"/>
          <w:highlight w:val="none"/>
        </w:rPr>
        <w:t>三十日内对你单位违法行为的改正情况实施复查。若复查时发现你单位</w:t>
      </w:r>
      <w:r>
        <w:rPr>
          <w:rFonts w:hint="eastAsia" w:ascii="仿宋_GB2312" w:hAnsi="仿宋_GB2312" w:eastAsia="仿宋_GB2312" w:cs="仿宋_GB2312"/>
          <w:kern w:val="0"/>
          <w:sz w:val="30"/>
          <w:szCs w:val="30"/>
          <w:highlight w:val="none"/>
          <w:lang w:val="en-US" w:eastAsia="zh-CN"/>
        </w:rPr>
        <w:t>逾期不改正的，</w:t>
      </w:r>
      <w:r>
        <w:rPr>
          <w:rFonts w:hint="eastAsia" w:ascii="仿宋_GB2312" w:hAnsi="仿宋_GB2312" w:eastAsia="仿宋_GB2312" w:cs="仿宋_GB2312"/>
          <w:kern w:val="0"/>
          <w:sz w:val="30"/>
          <w:szCs w:val="30"/>
          <w:highlight w:val="none"/>
        </w:rPr>
        <w:t>我局可根据《放射性同位素与射线装置安全和防护条例》第五十二条</w:t>
      </w:r>
      <w:r>
        <w:rPr>
          <w:rFonts w:hint="eastAsia" w:ascii="仿宋_GB2312" w:hAnsi="仿宋_GB2312" w:eastAsia="仿宋_GB2312" w:cs="仿宋_GB2312"/>
          <w:kern w:val="0"/>
          <w:sz w:val="30"/>
          <w:szCs w:val="30"/>
          <w:highlight w:val="none"/>
          <w:lang w:eastAsia="zh-CN"/>
        </w:rPr>
        <w:t>“</w:t>
      </w:r>
      <w:r>
        <w:rPr>
          <w:rFonts w:hint="eastAsia" w:ascii="仿宋_GB2312" w:hAnsi="仿宋_GB2312" w:eastAsia="仿宋_GB2312" w:cs="仿宋_GB2312"/>
          <w:kern w:val="0"/>
          <w:sz w:val="30"/>
          <w:szCs w:val="30"/>
          <w:highlight w:val="none"/>
        </w:rPr>
        <w:t>逾期不改正的，责令停产停业或者由原发证机关吊销许可证</w:t>
      </w:r>
      <w:r>
        <w:rPr>
          <w:rFonts w:hint="eastAsia" w:ascii="仿宋_GB2312" w:hAnsi="仿宋_GB2312" w:eastAsia="仿宋_GB2312" w:cs="仿宋_GB2312"/>
          <w:kern w:val="0"/>
          <w:sz w:val="30"/>
          <w:szCs w:val="30"/>
          <w:highlight w:val="none"/>
          <w:lang w:eastAsia="zh-CN"/>
        </w:rPr>
        <w:t>”等</w:t>
      </w:r>
      <w:r>
        <w:rPr>
          <w:rFonts w:hint="eastAsia" w:ascii="仿宋_GB2312" w:hAnsi="仿宋_GB2312" w:eastAsia="仿宋_GB2312" w:cs="仿宋_GB2312"/>
          <w:kern w:val="0"/>
          <w:sz w:val="30"/>
          <w:szCs w:val="30"/>
          <w:highlight w:val="none"/>
          <w:lang w:val="en-US" w:eastAsia="zh-CN"/>
        </w:rPr>
        <w:t>规定，</w:t>
      </w:r>
      <w:r>
        <w:rPr>
          <w:rFonts w:hint="eastAsia" w:ascii="仿宋_GB2312" w:hAnsi="仿宋_GB2312" w:eastAsia="仿宋_GB2312" w:cs="仿宋_GB2312"/>
          <w:color w:val="auto"/>
          <w:kern w:val="0"/>
          <w:sz w:val="30"/>
          <w:szCs w:val="30"/>
          <w:highlight w:val="none"/>
          <w:u w:val="none"/>
        </w:rPr>
        <w:t>依法采取法律</w:t>
      </w:r>
      <w:r>
        <w:rPr>
          <w:rFonts w:hint="eastAsia" w:ascii="仿宋_GB2312" w:hAnsi="仿宋_GB2312" w:eastAsia="仿宋_GB2312" w:cs="仿宋_GB2312"/>
          <w:color w:val="auto"/>
          <w:kern w:val="0"/>
          <w:sz w:val="30"/>
          <w:szCs w:val="30"/>
          <w:highlight w:val="none"/>
          <w:u w:val="none"/>
          <w:lang w:eastAsia="zh-CN"/>
        </w:rPr>
        <w:t>法规</w:t>
      </w:r>
      <w:r>
        <w:rPr>
          <w:rFonts w:hint="eastAsia" w:ascii="仿宋_GB2312" w:hAnsi="仿宋_GB2312" w:eastAsia="仿宋_GB2312" w:cs="仿宋_GB2312"/>
          <w:color w:val="auto"/>
          <w:kern w:val="0"/>
          <w:sz w:val="30"/>
          <w:szCs w:val="30"/>
          <w:highlight w:val="none"/>
          <w:u w:val="none"/>
        </w:rPr>
        <w:t>赋予生态环境部门的监管措施。</w:t>
      </w:r>
    </w:p>
    <w:p w14:paraId="3FFB6A89">
      <w:pPr>
        <w:keepNext w:val="0"/>
        <w:keepLines w:val="0"/>
        <w:pageBreakBefore w:val="0"/>
        <w:widowControl w:val="0"/>
        <w:kinsoku/>
        <w:wordWrap/>
        <w:overflowPunct/>
        <w:topLinePunct w:val="0"/>
        <w:autoSpaceDE w:val="0"/>
        <w:autoSpaceDN w:val="0"/>
        <w:bidi w:val="0"/>
        <w:adjustRightInd w:val="0"/>
        <w:snapToGrid w:val="0"/>
        <w:spacing w:beforeLines="0" w:line="240" w:lineRule="auto"/>
        <w:ind w:firstLine="600" w:firstLineChars="200"/>
        <w:textAlignment w:val="auto"/>
        <w:rPr>
          <w:rFonts w:hint="eastAsia" w:ascii="仿宋_GB2312" w:hAnsi="仿宋_GB2312" w:eastAsia="仿宋_GB2312" w:cs="仿宋_GB2312"/>
          <w:kern w:val="0"/>
          <w:sz w:val="30"/>
          <w:szCs w:val="30"/>
          <w:highlight w:val="none"/>
        </w:rPr>
      </w:pPr>
      <w:r>
        <w:rPr>
          <w:rFonts w:hint="eastAsia" w:ascii="仿宋_GB2312" w:hAnsi="仿宋_GB2312" w:eastAsia="仿宋_GB2312" w:cs="仿宋_GB2312"/>
          <w:kern w:val="0"/>
          <w:sz w:val="30"/>
          <w:szCs w:val="30"/>
          <w:highlight w:val="none"/>
        </w:rPr>
        <w:t>你单位在我局实施复查前，可以向我局报告整改情况，并附具相关证明材料。</w:t>
      </w:r>
    </w:p>
    <w:p w14:paraId="18B89EC2">
      <w:pPr>
        <w:keepNext w:val="0"/>
        <w:keepLines w:val="0"/>
        <w:pageBreakBefore w:val="0"/>
        <w:widowControl w:val="0"/>
        <w:kinsoku/>
        <w:wordWrap/>
        <w:overflowPunct/>
        <w:topLinePunct w:val="0"/>
        <w:autoSpaceDE w:val="0"/>
        <w:autoSpaceDN w:val="0"/>
        <w:bidi w:val="0"/>
        <w:adjustRightInd w:val="0"/>
        <w:snapToGrid w:val="0"/>
        <w:spacing w:beforeLines="0" w:line="240" w:lineRule="auto"/>
        <w:ind w:firstLine="600" w:firstLineChars="200"/>
        <w:textAlignment w:val="auto"/>
        <w:rPr>
          <w:rFonts w:hint="eastAsia" w:ascii="仿宋_GB2312" w:hAnsi="仿宋_GB2312" w:eastAsia="仿宋_GB2312" w:cs="仿宋_GB2312"/>
          <w:kern w:val="0"/>
          <w:sz w:val="30"/>
          <w:szCs w:val="30"/>
          <w:highlight w:val="none"/>
        </w:rPr>
      </w:pPr>
      <w:r>
        <w:rPr>
          <w:rFonts w:hint="eastAsia" w:ascii="仿宋_GB2312" w:hAnsi="仿宋_GB2312" w:eastAsia="仿宋_GB2312" w:cs="仿宋_GB2312"/>
          <w:kern w:val="0"/>
          <w:sz w:val="30"/>
          <w:szCs w:val="30"/>
          <w:highlight w:val="none"/>
        </w:rPr>
        <w:t>你单位如对本决定不服，可以在收到本决定书之日起六十日内向深圳市人民政府或者深圳市南山区人民政府申请行政复议；也可以在收到决定书之日起六个月内向广东省深圳市龙岗区人民法院提起行政诉讼。</w:t>
      </w:r>
    </w:p>
    <w:p w14:paraId="14F06F66">
      <w:pPr>
        <w:autoSpaceDE w:val="0"/>
        <w:autoSpaceDN w:val="0"/>
        <w:adjustRightInd w:val="0"/>
        <w:snapToGrid w:val="0"/>
        <w:spacing w:beforeLines="0"/>
        <w:ind w:firstLine="600" w:firstLineChars="200"/>
        <w:rPr>
          <w:rFonts w:hint="eastAsia" w:ascii="仿宋_GB2312" w:hAnsi="仿宋_GB2312" w:eastAsia="仿宋_GB2312" w:cs="仿宋_GB2312"/>
          <w:kern w:val="0"/>
          <w:sz w:val="30"/>
          <w:szCs w:val="30"/>
          <w:highlight w:val="none"/>
        </w:rPr>
      </w:pPr>
      <w:r>
        <w:rPr>
          <w:rFonts w:hint="eastAsia" w:ascii="仿宋_GB2312" w:hAnsi="仿宋_GB2312" w:eastAsia="仿宋_GB2312" w:cs="仿宋_GB2312"/>
          <w:kern w:val="0"/>
          <w:sz w:val="30"/>
          <w:szCs w:val="30"/>
          <w:highlight w:val="none"/>
          <w:lang w:val="zh-CN"/>
        </w:rPr>
        <w:t>联系人：</w:t>
      </w:r>
      <w:r>
        <w:rPr>
          <w:rFonts w:hint="eastAsia" w:ascii="仿宋_GB2312" w:hAnsi="仿宋_GB2312" w:eastAsia="仿宋_GB2312" w:cs="仿宋_GB2312"/>
          <w:kern w:val="0"/>
          <w:sz w:val="30"/>
          <w:szCs w:val="30"/>
          <w:highlight w:val="none"/>
        </w:rPr>
        <w:t>黄智华，联系电话：0755-26560940，联系地址：深圳市南山区泉园路13号环境大厦</w:t>
      </w:r>
    </w:p>
    <w:p w14:paraId="1A1DF2CB">
      <w:pPr>
        <w:pStyle w:val="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beforeLines="0"/>
        <w:ind w:firstLine="600" w:firstLineChars="200"/>
        <w:jc w:val="right"/>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 xml:space="preserve">深圳市生态环境局南山管理局   </w:t>
      </w:r>
    </w:p>
    <w:p w14:paraId="511B0C79">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30"/>
          <w:szCs w:val="30"/>
          <w:highlight w:val="none"/>
        </w:rPr>
        <w:t xml:space="preserve">                           </w:t>
      </w:r>
      <w:r>
        <w:rPr>
          <w:rFonts w:hint="eastAsia" w:ascii="仿宋_GB2312" w:hAnsi="仿宋_GB2312" w:eastAsia="仿宋_GB2312" w:cs="仿宋_GB2312"/>
          <w:sz w:val="30"/>
          <w:szCs w:val="30"/>
          <w:highlight w:val="none"/>
          <w:lang w:val="en-US" w:eastAsia="zh-CN"/>
        </w:rPr>
        <w:t xml:space="preserve">   </w:t>
      </w:r>
      <w:r>
        <w:rPr>
          <w:rFonts w:hint="eastAsia" w:ascii="仿宋_GB2312" w:hAnsi="仿宋_GB2312" w:eastAsia="仿宋_GB2312" w:cs="仿宋_GB2312"/>
          <w:sz w:val="30"/>
          <w:szCs w:val="30"/>
          <w:highlight w:val="none"/>
          <w:lang w:eastAsia="zh-CN"/>
        </w:rPr>
        <w:t xml:space="preserve">  </w:t>
      </w:r>
      <w:r>
        <w:rPr>
          <w:rFonts w:hint="eastAsia" w:ascii="仿宋_GB2312" w:hAnsi="仿宋_GB2312" w:eastAsia="仿宋_GB2312" w:cs="仿宋_GB2312"/>
          <w:sz w:val="30"/>
          <w:szCs w:val="30"/>
          <w:highlight w:val="none"/>
          <w:lang w:val="en-US" w:eastAsia="zh-CN"/>
        </w:rPr>
        <w:t xml:space="preserve">             </w:t>
      </w:r>
      <w:r>
        <w:rPr>
          <w:rFonts w:hint="eastAsia" w:ascii="仿宋_GB2312" w:hAnsi="仿宋_GB2312" w:eastAsia="仿宋_GB2312" w:cs="仿宋_GB2312"/>
          <w:sz w:val="30"/>
          <w:szCs w:val="30"/>
          <w:highlight w:val="none"/>
        </w:rPr>
        <w:t>2024年11月27日</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仿宋_GBK">
    <w:altName w:val="Arial Unicode MS"/>
    <w:panose1 w:val="02000000000000000000"/>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A02A9A">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BE796B2">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BE796B2">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73F5679"/>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 w:val="95EC1893"/>
    <w:rsid w:val="EB5E7A85"/>
    <w:rsid w:val="F7D79A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annotation text"/>
    <w:basedOn w:val="1"/>
    <w:qFormat/>
    <w:uiPriority w:val="0"/>
    <w:pPr>
      <w:jc w:val="left"/>
    </w:pPr>
  </w:style>
  <w:style w:type="paragraph" w:styleId="4">
    <w:name w:val="Body Text"/>
    <w:basedOn w:val="1"/>
    <w:next w:val="5"/>
    <w:qFormat/>
    <w:uiPriority w:val="0"/>
    <w:pPr>
      <w:spacing w:after="120"/>
    </w:pPr>
  </w:style>
  <w:style w:type="paragraph" w:styleId="5">
    <w:name w:val="Title"/>
    <w:basedOn w:val="1"/>
    <w:next w:val="1"/>
    <w:qFormat/>
    <w:uiPriority w:val="10"/>
    <w:pPr>
      <w:spacing w:line="600" w:lineRule="exact"/>
      <w:jc w:val="center"/>
      <w:outlineLvl w:val="0"/>
    </w:pPr>
    <w:rPr>
      <w:rFonts w:ascii="Cambria" w:hAnsi="Cambria"/>
      <w:b/>
      <w:bCs/>
      <w:kern w:val="0"/>
      <w:sz w:val="36"/>
      <w:szCs w:val="32"/>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1579</Words>
  <Characters>1690</Characters>
  <Lines>0</Lines>
  <Paragraphs>0</Paragraphs>
  <TotalTime>3</TotalTime>
  <ScaleCrop>false</ScaleCrop>
  <LinksUpToDate>false</LinksUpToDate>
  <CharactersWithSpaces>1989</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2020-07-04T06:25:00Z</dcterms:created>
  <dc:creator>梁芷茵</dc:creator>
  <cp:lastModifiedBy>轮子</cp:lastModifiedBy>
  <cp:lastPrinted>2023-09-14T07:05:00Z</cp:lastPrinted>
  <dcterms:modified xsi:type="dcterms:W3CDTF">2024-12-12T02:42:41Z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C0CD0B90E1F149FD9B059ABD2C2EDB50_13</vt:lpwstr>
  </property>
</Properties>
</file>